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94047" w:rsidR="00FD3806" w:rsidRPr="00A72646" w:rsidRDefault="00797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62A31" w:rsidR="00FD3806" w:rsidRPr="002A5E6C" w:rsidRDefault="00797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6DA66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7D9DB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DCEC3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3EE94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9011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DCB82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A81C" w:rsidR="00B87ED3" w:rsidRPr="00AF0D95" w:rsidRDefault="00797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F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BE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F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35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F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89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360E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0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5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D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4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B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E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6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B8D7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DDE16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9CE4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72512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F4AC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642F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033B" w:rsidR="00B87ED3" w:rsidRPr="00AF0D95" w:rsidRDefault="00797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F8B8" w:rsidR="00B87ED3" w:rsidRPr="00AF0D95" w:rsidRDefault="00797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Hong Kong Special Administrative Region Establishment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B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ABE8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33A6E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18B68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EAA1F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79C59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0222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6C4D0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5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2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8F09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124A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A9343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6BA9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6736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B8DF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DE282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9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9F5B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4FC2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141EA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9D61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2A3C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DC2B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2FD7B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2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15ACC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CDF37" w:rsidR="00B87ED3" w:rsidRPr="00AF0D95" w:rsidRDefault="00797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02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FA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B9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7B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DE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E5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EC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2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F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8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46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D1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