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9C484" w:rsidR="0061148E" w:rsidRPr="00177744" w:rsidRDefault="001243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292D" w:rsidR="0061148E" w:rsidRPr="00177744" w:rsidRDefault="001243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A192FC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1A1031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9B817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9FA216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0C580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865E0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1E070" w:rsidR="00983D57" w:rsidRPr="00177744" w:rsidRDefault="001243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F5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6B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75B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43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54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EB682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F1D2F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D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0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A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B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7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9C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F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6BF8FF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84D1F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7C698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9FEE14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D2618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43B29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03EB6E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C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5A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7D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B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E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B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A5F8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6D9D5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93D155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C0396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D06D1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CDEB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F1D1A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343AB" w:rsidR="00B87ED3" w:rsidRPr="00177744" w:rsidRDefault="001243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 la commémoration de la conférence nationale souveraine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3A9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2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2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B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95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C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DF704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69B4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E9E8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1FA43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89637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940A33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B8ECD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A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40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5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AA7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07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8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2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3E93D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E7D71C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0F46B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AF5EA2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A00A9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89CFE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86592" w:rsidR="00B87ED3" w:rsidRPr="00177744" w:rsidRDefault="001243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7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34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DB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E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8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B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D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2C2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