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CDC6A" w:rsidR="0061148E" w:rsidRPr="0035681E" w:rsidRDefault="00AF79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5F57B" w:rsidR="0061148E" w:rsidRPr="0035681E" w:rsidRDefault="00AF79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F47FF8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BEE288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234BE8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CC5E90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6A7FB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9B177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F6633" w:rsidR="00CD0676" w:rsidRPr="00944D28" w:rsidRDefault="00AF79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90DB51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5490DA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151DE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9C18F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B653F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525576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D47C1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A7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45D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6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36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D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56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699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CAE5A8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47EAF2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D8940B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EA0BAD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3B401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7B85B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6C74A" w:rsidR="00B87ED3" w:rsidRPr="00944D28" w:rsidRDefault="00AF79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9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D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E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D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8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E4CBC5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9B75C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F33FD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F7411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719F47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6E0349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8C73B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D6243" w:rsidR="00B87ED3" w:rsidRPr="00944D28" w:rsidRDefault="00AF79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A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4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8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0D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F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C4CA67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E678C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DB5B94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DA4260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2C2CE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4F74EA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E952FF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5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7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4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13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5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1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BB2763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696312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71A56" w:rsidR="00B87ED3" w:rsidRPr="00944D28" w:rsidRDefault="00AF79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B69C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79F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D4D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E03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2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CA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E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9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3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F79B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