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90B0C" w:rsidR="00380DB3" w:rsidRPr="0068293E" w:rsidRDefault="007D51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495D47" w:rsidR="00380DB3" w:rsidRPr="0068293E" w:rsidRDefault="007D51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F887F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C2279D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D4B486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533E5A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AFF272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618BC9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D324A" w:rsidR="00240DC4" w:rsidRPr="00B03D55" w:rsidRDefault="007D51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C2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6C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686911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CB7EB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00C3AF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C6326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797B5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2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BF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D7B33" w:rsidR="001835FB" w:rsidRPr="00DA1511" w:rsidRDefault="007D51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Hong Kong Special Administrative Region Establishment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8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FD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E4A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B3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F49260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9E93F0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4D030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28397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4DBF5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7AAA2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FCC3AA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A0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E2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3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F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73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9F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B2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53E859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F0C2C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5CCB2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0442D4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7330D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2AC12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2109F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5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92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AB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4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E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0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5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BE39D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C810B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37CE5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49B2D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E8AFB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A9308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A3346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7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F5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B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1C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56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075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DE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17925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9E69F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B607A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124A8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DD6B5" w:rsidR="009A6C64" w:rsidRPr="00730585" w:rsidRDefault="007D51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CB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AD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1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01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0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82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2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8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1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51C1" w:rsidRPr="00B537C7" w:rsidRDefault="007D51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1C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